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201 vom 19. September 1975</w:t>
      </w:r>
    </w:p>
    <w:p>
      <w:r>
        <w:t>Bundesgericht (BGE), 1975-09-19, FR</w:t>
      </w:r>
    </w:p>
    <w:p>
      <w:r>
        <w:rPr>
          <w:b/>
        </w:rPr>
        <w:t xml:space="preserve">Quelle: </w:t>
      </w:r>
      <w:r>
        <w:t>https://mcp.opencaselaw.ch/entscheid/bge_101 IA 201</w:t>
      </w:r>
    </w:p>
    <w:p>
      <w:r>
        <w:t>FR: BGE 101 IA 201 du 19 septembre 1975</w:t>
      </w:r>
    </w:p>
    <w:p>
      <w:r>
        <w:t>IT: BGE 101 IA 201 del 19 settembre 1975</w:t>
      </w:r>
    </w:p>
    <w:p>
      <w:pPr>
        <w:pStyle w:val="Heading2"/>
      </w:pPr>
      <w:r>
        <w:t>Regeste</w:t>
      </w:r>
    </w:p>
    <w:p>
      <w:r>
        <w:t>Regeste Art. 4 BV, Art. 174 SchKG. Art. 174 Abs. 1 SchKG. Die Praxis einer Berufungsinstanz, welche die Berücksichtigung von erst nach dem Konkurserkenntnis eingetretenen Tatsachen an objektive Voraussetzungen knüpft und die bei der Überprüfung dieser Voraussetzungen den Grundsatz der Gleichbehandlung befolgt, ist mit Art. 4 BV vereinbar (Erw. 1). Formelle Rechtsverweigerung (Erw. 2).</w:t>
      </w:r>
    </w:p>
    <w:p>
      <w:pPr>
        <w:pStyle w:val="Heading2"/>
      </w:pPr>
      <w:r>
        <w:t>Erwägungen</w:t>
      </w:r>
    </w:p>
    <w:p>
      <w:r>
        <w:rPr>
          <w:b/>
        </w:rPr>
        <w:t>E. 1</w:t>
      </w:r>
    </w:p>
    <w:p>
      <w:r>
        <w:t>A l'appui du grief de violation de l'art. 4 Cst., le recourant fait notamment valoir que l'autorité cantonale devait, selon sa propre jurisprudence, tenir compte du paiement de la dette - en capital, intérêts et frais - et du retrait de la réquisition de faillite intervenue après le jugement du 29 avril 1975. a) Cette argumentation pose la question de la prise en considération, par l'autorité judiciaire visée à l'art. 174 al. 1 LP, de faits postérieurs au jugement qui lui est déféré. Le Tribunal fédéral a déjà examiné cette question à plusieurs reprises. Il l'a laissée ouverte dans l'arrêt RO 36 I 386 ss, après avoir relevé que la LP ne renfermait aucune disposition expresse sur la recevabilité des "nova" dans la procédure de faillite; il a toutefois prononcé que l'autorité judiciaire supérieure devait tenir compte de toutes les circonstances existant au moment du jugement de première instance et invoquées devant elle, et cela même si le premier juge n'en avait pas eu connaissance. Dans l'arrêt RO 76 I 273 ss, il a jugé qu'on ne saurait faire dépendre la prise en considération de faits survenus après le jugement de faillite de l'octroi ou du refus de l'effet suspensif en application de l'art. 174 al. 2 LP (p. 280 s.), rappelant que selon la jurisprudence, il n'était en tout cas pas arbitraire de refuser de manière générale de tenir compte de faits nouveaux (p. 282). En 1965, le Tribunal fédéral a considéré comme tout à fait adéquate la solution de l'autorité cantonale thurgovienne consistant à admettre l'annulation du prononcé de faillite ensuite de paiement postérieur du débiteur, si celui-ci ne se trouvait que momentanément dépourvu de liquidités, s'il n'était pas poursuivi pour des sommes importantes et si le retard pouvait être attribué à une inadvertance (RO 91 I 2 s.). Dans l'arrêt 92 I 190, le Tribunal fédéral a rappelé que la LP ne disait pas, du moins pas expressément, si l'autorité de recours pouvait ou non prendre en considération des faits postérieurs au jugement de première instance; ni BGE 101 Ia 201 S. 204 l'exclusion générale des "nova", ni l'admission de certains d'entre eux ne doivent être taxées d'arbitraire. Dans sa réponse au recours, le Cour de justice fait valoir que sa pratique ne peut être qualifiée d'arbitraire au regard de cette jurisprudence. b) On doit admettre, conformément à la jurisprudence qui vient d'être rappelée, que la pratique d'une autorité cantonale supérieure au sens de l'art. 174 al. 1 LP est compatible avec l'art. 4 Cst., lorsqu'elle subordonne la prise en considération de faits postérieurs au prononcé de la faillite - tels le paiement de la dette et le retrait de la réquisition de faillite - à des conditions objectives et que son application respecte le principe de l'égalité de traitement.</w:t>
      </w:r>
    </w:p>
    <w:p>
      <w:r>
        <w:rPr>
          <w:b/>
        </w:rPr>
        <w:t>E. 2</w:t>
      </w:r>
    </w:p>
    <w:p>
      <w:r>
        <w:t>Il n'est pas nécessaire d'examiner en l'espèce si la pratique dont fait état la Cour de justice dans sa réponse au recours satisfait à ces exigences. La jurisprudence "extralégale" sur laquelle se fonde l'autorité cantonale n'est en effet pas évoquée dans l'arrêt attaqué. Celui-ci se borne à faire valoir qu'"à l'audience du 31 janvier 1975 l'appelant a été avisé qu'il ne sera plus procédé, à l'avenir, à une nouvelle rétractation de sa faillite". Cet avis ne fait l'objet d'aucune pièce figurant au dossier, si bien qu'on en ignore la teneur exacte. Certes, la Cour de justice affirme que sa pratique, constante depuis de nombreuses années, "est connue des intéressés". Mais elle déclare par ailleurs que cette pratique "ne correspond pas à son point de vue juridique" et cite à cet égard un arrêt du 12 décembre 1947: selon cet arrêt, la procédure de faillite est soustraite à l'action du créancier qui en a provoqué l'ouverture dès le prononcé du juge, et on ne peut tenir compte devant l'instance de recours que de faits antérieurs au prononcé de la faillite; le retrait de la demande et le paiement de la dette postérieurs au prononcé de la faillite sont ainsi inopérants (SJ 1948 p. 222 s.). Quant à l'arrêt du 24 mai 1963 invoqué par le recourant (SJ 1964 p. 383), on peut en déduire que la Cour de justice admet l'annulation du jugement de faillite lorsque le débiteur peut justifier à la première audience de l'instance d'appel du retrait de toutes les réquisitions de faillite. Il résulte de la coexistence de cette jurisprudence publiée contradictoire et d'une pratique "extralégale" divergente une incertitude qui ne permettait pas au recourant de savoir sur BGE 101 Ia 201 S. 205 quelle base juridique son appel était écarté. Cette incertitude n'est pas dissipée par l'arrêt non motivé de la Cour de justice: cet arrêt n'invoque aucune disposition légale ni aucun précédent judiciaire, et on ignore dans quels termes l'avertissement verbal dont il fait état a été donné au recourant, et notamment si celui-ci a été informé de la pratique dans laquelle cet avertissement s'inscrivait. En statuant de la sorte, l'autorité cantonale a commis un déni de justice formel qui entraîne l'annulation de sa décision.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